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DE1237" w:rsidRPr="00F96FCD" w:rsidTr="00382CB1">
        <w:trPr>
          <w:trHeight w:val="3057"/>
        </w:trPr>
        <w:tc>
          <w:tcPr>
            <w:tcW w:w="4820" w:type="dxa"/>
          </w:tcPr>
          <w:p w:rsidR="00DE1237" w:rsidRPr="00F96FCD" w:rsidRDefault="00DE1237" w:rsidP="00382C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D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inline distT="0" distB="0" distL="0" distR="0" wp14:anchorId="34399C82" wp14:editId="2135F887">
                  <wp:extent cx="2933700" cy="1857375"/>
                  <wp:effectExtent l="0" t="0" r="19050" b="9525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DE1237" w:rsidRPr="00F96FCD" w:rsidRDefault="00DE1237" w:rsidP="00382C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D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inline distT="0" distB="0" distL="0" distR="0" wp14:anchorId="2E8C0998" wp14:editId="4D58C8AF">
                  <wp:extent cx="2943225" cy="1857375"/>
                  <wp:effectExtent l="0" t="0" r="9525" b="9525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DE1237" w:rsidRPr="00F96FCD" w:rsidTr="00382CB1">
        <w:tc>
          <w:tcPr>
            <w:tcW w:w="4820" w:type="dxa"/>
          </w:tcPr>
          <w:p w:rsidR="00DE1237" w:rsidRPr="00F96FCD" w:rsidRDefault="00DE1237" w:rsidP="00382CB1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D">
              <w:rPr>
                <w:rFonts w:ascii="Times New Roman" w:hAnsi="Times New Roman" w:cs="Times New Roman"/>
                <w:sz w:val="24"/>
                <w:szCs w:val="24"/>
              </w:rPr>
              <w:t>Average of TNF-α serum values (pg/ml) in the 4 groups, day 1 and day 7</w:t>
            </w:r>
          </w:p>
        </w:tc>
        <w:tc>
          <w:tcPr>
            <w:tcW w:w="4820" w:type="dxa"/>
          </w:tcPr>
          <w:p w:rsidR="00DE1237" w:rsidRPr="00F96FCD" w:rsidRDefault="00DE1237" w:rsidP="00382CB1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FCD">
              <w:rPr>
                <w:rFonts w:ascii="Times New Roman" w:hAnsi="Times New Roman" w:cs="Times New Roman"/>
                <w:sz w:val="24"/>
                <w:szCs w:val="24"/>
              </w:rPr>
              <w:t>Average of IL-1α serum values (pg/ml) in the 4 groups, day 1 and day 7</w:t>
            </w:r>
          </w:p>
        </w:tc>
      </w:tr>
    </w:tbl>
    <w:p w:rsidR="00DE1237" w:rsidRDefault="00DE1237" w:rsidP="00DE12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237" w:rsidRDefault="00DE1237" w:rsidP="00DE12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237" w:rsidRPr="00F96FCD" w:rsidRDefault="00DE1237" w:rsidP="00DE12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FCD">
        <w:rPr>
          <w:rFonts w:ascii="Times New Roman" w:hAnsi="Times New Roman" w:cs="Times New Roman"/>
          <w:sz w:val="24"/>
          <w:szCs w:val="24"/>
        </w:rPr>
        <w:t>Figure 1.  Average of TNF-α and IL-1α serum values.</w:t>
      </w:r>
    </w:p>
    <w:p w:rsidR="00E65131" w:rsidRDefault="00E65131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E1237" w:rsidRPr="00F96FCD" w:rsidTr="00382CB1">
        <w:tc>
          <w:tcPr>
            <w:tcW w:w="4644" w:type="dxa"/>
          </w:tcPr>
          <w:p w:rsidR="00DE1237" w:rsidRPr="00F96FCD" w:rsidRDefault="00DE1237" w:rsidP="00382CB1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96FCD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o-RO"/>
              </w:rPr>
              <w:drawing>
                <wp:inline distT="0" distB="0" distL="0" distR="0" wp14:anchorId="5872719F" wp14:editId="397DD773">
                  <wp:extent cx="2648310" cy="187652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a aderenț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977" cy="188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DE1237" w:rsidRPr="00F96FCD" w:rsidRDefault="00DE1237" w:rsidP="00382CB1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96FCD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o-RO"/>
              </w:rPr>
              <w:drawing>
                <wp:inline distT="0" distB="0" distL="0" distR="0" wp14:anchorId="2BBF25D4" wp14:editId="5F1B01B1">
                  <wp:extent cx="2656936" cy="1902685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 .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668" cy="1906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237" w:rsidRPr="00F96FCD" w:rsidTr="00382CB1">
        <w:tc>
          <w:tcPr>
            <w:tcW w:w="4644" w:type="dxa"/>
          </w:tcPr>
          <w:p w:rsidR="00DE1237" w:rsidRPr="00495843" w:rsidRDefault="00DE1237" w:rsidP="00495843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43">
              <w:rPr>
                <w:rFonts w:ascii="Times New Roman" w:hAnsi="Times New Roman" w:cs="Times New Roman"/>
                <w:sz w:val="24"/>
                <w:szCs w:val="24"/>
              </w:rPr>
              <w:t>No adhesions</w:t>
            </w:r>
          </w:p>
        </w:tc>
        <w:tc>
          <w:tcPr>
            <w:tcW w:w="4644" w:type="dxa"/>
          </w:tcPr>
          <w:p w:rsidR="00DE1237" w:rsidRPr="00495843" w:rsidRDefault="00DE1237" w:rsidP="00495843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43">
              <w:rPr>
                <w:rFonts w:ascii="Times New Roman" w:hAnsi="Times New Roman" w:cs="Times New Roman"/>
                <w:sz w:val="24"/>
                <w:szCs w:val="24"/>
              </w:rPr>
              <w:t>First degree adhesion</w:t>
            </w:r>
          </w:p>
        </w:tc>
      </w:tr>
      <w:tr w:rsidR="00DE1237" w:rsidRPr="00F96FCD" w:rsidTr="00382CB1">
        <w:tc>
          <w:tcPr>
            <w:tcW w:w="4644" w:type="dxa"/>
          </w:tcPr>
          <w:p w:rsidR="00DE1237" w:rsidRPr="00F96FCD" w:rsidRDefault="00DE1237" w:rsidP="00382CB1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96FCD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o-RO"/>
              </w:rPr>
              <w:drawing>
                <wp:inline distT="0" distB="0" distL="0" distR="0" wp14:anchorId="2A1CCEAD" wp14:editId="2E31817D">
                  <wp:extent cx="2648310" cy="190643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686" cy="1911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DE1237" w:rsidRPr="00F96FCD" w:rsidRDefault="00DE1237" w:rsidP="00382CB1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96FCD"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o-RO"/>
              </w:rPr>
              <w:drawing>
                <wp:inline distT="0" distB="0" distL="0" distR="0" wp14:anchorId="3C416C8E" wp14:editId="34EE5CC0">
                  <wp:extent cx="2656936" cy="1901399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611" cy="1902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DE1237" w:rsidRPr="00F96FCD" w:rsidTr="00382CB1">
        <w:tc>
          <w:tcPr>
            <w:tcW w:w="4644" w:type="dxa"/>
          </w:tcPr>
          <w:p w:rsidR="00DE1237" w:rsidRPr="00495843" w:rsidRDefault="00DE1237" w:rsidP="00495843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43">
              <w:rPr>
                <w:rFonts w:ascii="Times New Roman" w:hAnsi="Times New Roman" w:cs="Times New Roman"/>
                <w:sz w:val="24"/>
                <w:szCs w:val="24"/>
              </w:rPr>
              <w:t>Second degree adhesion</w:t>
            </w:r>
          </w:p>
        </w:tc>
        <w:tc>
          <w:tcPr>
            <w:tcW w:w="4644" w:type="dxa"/>
          </w:tcPr>
          <w:p w:rsidR="00DE1237" w:rsidRPr="00495843" w:rsidRDefault="00DE1237" w:rsidP="00495843">
            <w:pPr>
              <w:pStyle w:val="ListParagraph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843">
              <w:rPr>
                <w:rFonts w:ascii="Times New Roman" w:hAnsi="Times New Roman" w:cs="Times New Roman"/>
                <w:sz w:val="24"/>
                <w:szCs w:val="24"/>
              </w:rPr>
              <w:t>Third degree adhesion</w:t>
            </w:r>
          </w:p>
        </w:tc>
      </w:tr>
    </w:tbl>
    <w:p w:rsidR="00DE1237" w:rsidRDefault="00DE1237"/>
    <w:p w:rsidR="00DE1237" w:rsidRDefault="00DE1237"/>
    <w:p w:rsidR="00DE1237" w:rsidRPr="00F96FCD" w:rsidRDefault="00DE1237" w:rsidP="00DE12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FCD">
        <w:rPr>
          <w:rFonts w:ascii="Times New Roman" w:hAnsi="Times New Roman" w:cs="Times New Roman"/>
          <w:sz w:val="24"/>
          <w:szCs w:val="24"/>
        </w:rPr>
        <w:t>Figure 2.  Macroscopic appearance of peritoneal adhesions</w:t>
      </w:r>
    </w:p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/>
    <w:p w:rsidR="00DE1237" w:rsidRDefault="00DE1237" w:rsidP="00DE1237">
      <w:pPr>
        <w:jc w:val="center"/>
      </w:pPr>
      <w:r w:rsidRPr="00F96FCD">
        <w:rPr>
          <w:rFonts w:ascii="Times New Roman" w:hAnsi="Times New Roman" w:cs="Times New Roman"/>
          <w:noProof/>
          <w:sz w:val="24"/>
          <w:szCs w:val="24"/>
          <w:lang w:eastAsia="ro-RO"/>
        </w:rPr>
        <w:lastRenderedPageBreak/>
        <w:drawing>
          <wp:inline distT="0" distB="0" distL="0" distR="0" wp14:anchorId="46D91C83" wp14:editId="1227A269">
            <wp:extent cx="4476750" cy="25908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1237" w:rsidRDefault="00DE1237" w:rsidP="00DE1237">
      <w:pPr>
        <w:jc w:val="center"/>
      </w:pPr>
    </w:p>
    <w:p w:rsidR="00DE1237" w:rsidRDefault="00DE1237" w:rsidP="00DE1237">
      <w:pPr>
        <w:jc w:val="center"/>
      </w:pPr>
    </w:p>
    <w:p w:rsidR="00DE1237" w:rsidRDefault="00DE1237" w:rsidP="00DE1237">
      <w:pPr>
        <w:jc w:val="center"/>
      </w:pPr>
      <w:r w:rsidRPr="00F96FCD">
        <w:rPr>
          <w:rFonts w:ascii="Times New Roman" w:hAnsi="Times New Roman" w:cs="Times New Roman"/>
          <w:sz w:val="24"/>
          <w:szCs w:val="24"/>
        </w:rPr>
        <w:t>Figure 3. The evolution of the TNF-α serum values in the 4 groups, on day 1 and day 7 postoperatively as compared to the macroscopic degree of severity and the area covered by adhesions</w:t>
      </w:r>
    </w:p>
    <w:sectPr w:rsidR="00DE1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F8C"/>
    <w:multiLevelType w:val="hybridMultilevel"/>
    <w:tmpl w:val="B4DE37C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72469"/>
    <w:multiLevelType w:val="hybridMultilevel"/>
    <w:tmpl w:val="090A034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37"/>
    <w:rsid w:val="00495843"/>
    <w:rsid w:val="00DE1237"/>
    <w:rsid w:val="00E6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237"/>
    <w:pPr>
      <w:ind w:left="720"/>
      <w:contextualSpacing/>
    </w:pPr>
  </w:style>
  <w:style w:type="table" w:styleId="TableGrid">
    <w:name w:val="Table Grid"/>
    <w:basedOn w:val="TableNormal"/>
    <w:uiPriority w:val="59"/>
    <w:rsid w:val="00DE1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237"/>
    <w:pPr>
      <w:ind w:left="720"/>
      <w:contextualSpacing/>
    </w:pPr>
  </w:style>
  <w:style w:type="table" w:styleId="TableGrid">
    <w:name w:val="Table Grid"/>
    <w:basedOn w:val="TableNormal"/>
    <w:uiPriority w:val="59"/>
    <w:rsid w:val="00DE1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SUS\Documents\Copy%20of%20grafic%20a1%20(1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SUS\Documents\Copy%20of%20grafic%20a1%20(1)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ASUS\Documents\Copy%20of%20grafic%20a1%20(1)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34321346774328"/>
          <c:y val="4.8564237162662359E-2"/>
          <c:w val="0.72912817426484111"/>
          <c:h val="0.814330439464297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Sheet2!$C$5</c:f>
              <c:strCache>
                <c:ptCount val="1"/>
                <c:pt idx="0">
                  <c:v>TNF-α day 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</c:spPr>
          <c:invertIfNegative val="0"/>
          <c:cat>
            <c:strRef>
              <c:f>Sheet2!$B$6:$B$9</c:f>
              <c:strCache>
                <c:ptCount val="4"/>
                <c:pt idx="0">
                  <c:v>G1</c:v>
                </c:pt>
                <c:pt idx="1">
                  <c:v>G2</c:v>
                </c:pt>
                <c:pt idx="2">
                  <c:v>G3</c:v>
                </c:pt>
                <c:pt idx="3">
                  <c:v>G4</c:v>
                </c:pt>
              </c:strCache>
            </c:strRef>
          </c:cat>
          <c:val>
            <c:numRef>
              <c:f>Sheet2!$C$6:$C$9</c:f>
              <c:numCache>
                <c:formatCode>General</c:formatCode>
                <c:ptCount val="4"/>
                <c:pt idx="0">
                  <c:v>134.26</c:v>
                </c:pt>
                <c:pt idx="1">
                  <c:v>134.6</c:v>
                </c:pt>
                <c:pt idx="2">
                  <c:v>77.459999999999994</c:v>
                </c:pt>
                <c:pt idx="3">
                  <c:v>82.43</c:v>
                </c:pt>
              </c:numCache>
            </c:numRef>
          </c:val>
        </c:ser>
        <c:ser>
          <c:idx val="1"/>
          <c:order val="1"/>
          <c:tx>
            <c:strRef>
              <c:f>Sheet2!$D$5</c:f>
              <c:strCache>
                <c:ptCount val="1"/>
                <c:pt idx="0">
                  <c:v>TNF-α day 7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</c:spPr>
          <c:invertIfNegative val="0"/>
          <c:cat>
            <c:strRef>
              <c:f>Sheet2!$B$6:$B$9</c:f>
              <c:strCache>
                <c:ptCount val="4"/>
                <c:pt idx="0">
                  <c:v>G1</c:v>
                </c:pt>
                <c:pt idx="1">
                  <c:v>G2</c:v>
                </c:pt>
                <c:pt idx="2">
                  <c:v>G3</c:v>
                </c:pt>
                <c:pt idx="3">
                  <c:v>G4</c:v>
                </c:pt>
              </c:strCache>
            </c:strRef>
          </c:cat>
          <c:val>
            <c:numRef>
              <c:f>Sheet2!$D$6:$D$9</c:f>
              <c:numCache>
                <c:formatCode>General</c:formatCode>
                <c:ptCount val="4"/>
                <c:pt idx="0">
                  <c:v>126.9</c:v>
                </c:pt>
                <c:pt idx="1">
                  <c:v>127.43</c:v>
                </c:pt>
                <c:pt idx="2">
                  <c:v>79.56</c:v>
                </c:pt>
                <c:pt idx="3">
                  <c:v>83.83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702848"/>
        <c:axId val="226704384"/>
      </c:barChart>
      <c:catAx>
        <c:axId val="226702848"/>
        <c:scaling>
          <c:orientation val="minMax"/>
        </c:scaling>
        <c:delete val="0"/>
        <c:axPos val="b"/>
        <c:majorTickMark val="out"/>
        <c:minorTickMark val="none"/>
        <c:tickLblPos val="nextTo"/>
        <c:crossAx val="226704384"/>
        <c:crosses val="autoZero"/>
        <c:auto val="1"/>
        <c:lblAlgn val="ctr"/>
        <c:lblOffset val="100"/>
        <c:noMultiLvlLbl val="0"/>
      </c:catAx>
      <c:valAx>
        <c:axId val="226704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6702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399368072621492"/>
          <c:y val="0.13020203243825293"/>
          <c:w val="0.18176003477272348"/>
          <c:h val="0.7122449693788276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7974034791392403E-2"/>
          <c:y val="7.2099064540009417E-2"/>
          <c:w val="0.77097129420336652"/>
          <c:h val="0.790795612086950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Sheet1!$C$3</c:f>
              <c:strCache>
                <c:ptCount val="1"/>
                <c:pt idx="0">
                  <c:v>IL-1α day 1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cat>
            <c:strRef>
              <c:f>Sheet1!$B$4:$B$7</c:f>
              <c:strCache>
                <c:ptCount val="4"/>
                <c:pt idx="0">
                  <c:v>G1</c:v>
                </c:pt>
                <c:pt idx="1">
                  <c:v>G2</c:v>
                </c:pt>
                <c:pt idx="2">
                  <c:v>G3</c:v>
                </c:pt>
                <c:pt idx="3">
                  <c:v>G4</c:v>
                </c:pt>
              </c:strCache>
            </c:strRef>
          </c:cat>
          <c:val>
            <c:numRef>
              <c:f>Sheet1!$C$4:$C$7</c:f>
              <c:numCache>
                <c:formatCode>General</c:formatCode>
                <c:ptCount val="4"/>
                <c:pt idx="0">
                  <c:v>46.56</c:v>
                </c:pt>
                <c:pt idx="1">
                  <c:v>38.86</c:v>
                </c:pt>
                <c:pt idx="2">
                  <c:v>27.03</c:v>
                </c:pt>
                <c:pt idx="3">
                  <c:v>23.23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IL-1α day 7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invertIfNegative val="0"/>
          <c:cat>
            <c:strRef>
              <c:f>Sheet1!$B$4:$B$7</c:f>
              <c:strCache>
                <c:ptCount val="4"/>
                <c:pt idx="0">
                  <c:v>G1</c:v>
                </c:pt>
                <c:pt idx="1">
                  <c:v>G2</c:v>
                </c:pt>
                <c:pt idx="2">
                  <c:v>G3</c:v>
                </c:pt>
                <c:pt idx="3">
                  <c:v>G4</c:v>
                </c:pt>
              </c:strCache>
            </c:strRef>
          </c:cat>
          <c:val>
            <c:numRef>
              <c:f>Sheet1!$D$4:$D$7</c:f>
              <c:numCache>
                <c:formatCode>General</c:formatCode>
                <c:ptCount val="4"/>
                <c:pt idx="0">
                  <c:v>17.53</c:v>
                </c:pt>
                <c:pt idx="1">
                  <c:v>20.260000000000002</c:v>
                </c:pt>
                <c:pt idx="2">
                  <c:v>19.100000000000001</c:v>
                </c:pt>
                <c:pt idx="3">
                  <c:v>16.600000000000001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91456"/>
        <c:axId val="130692992"/>
      </c:barChart>
      <c:catAx>
        <c:axId val="130691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30692992"/>
        <c:crosses val="autoZero"/>
        <c:auto val="1"/>
        <c:lblAlgn val="ctr"/>
        <c:lblOffset val="100"/>
        <c:noMultiLvlLbl val="0"/>
      </c:catAx>
      <c:valAx>
        <c:axId val="130692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691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527029152901629"/>
          <c:y val="0.19174049397671447"/>
          <c:w val="0.20052360962766089"/>
          <c:h val="0.431903089036947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3718657508237001E-2"/>
          <c:y val="4.2141423498533274E-2"/>
          <c:w val="0.69680336832895884"/>
          <c:h val="0.865026975794692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Sheet6!$C$5</c:f>
              <c:strCache>
                <c:ptCount val="1"/>
                <c:pt idx="0">
                  <c:v>TNF day 1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</c:spPr>
          <c:invertIfNegative val="0"/>
          <c:cat>
            <c:strRef>
              <c:f>Sheet6!$B$6:$B$9</c:f>
              <c:strCache>
                <c:ptCount val="4"/>
                <c:pt idx="0">
                  <c:v>G1</c:v>
                </c:pt>
                <c:pt idx="1">
                  <c:v>G2</c:v>
                </c:pt>
                <c:pt idx="2">
                  <c:v>G3</c:v>
                </c:pt>
                <c:pt idx="3">
                  <c:v>G4</c:v>
                </c:pt>
              </c:strCache>
            </c:strRef>
          </c:cat>
          <c:val>
            <c:numRef>
              <c:f>Sheet6!$C$6:$C$9</c:f>
              <c:numCache>
                <c:formatCode>General</c:formatCode>
                <c:ptCount val="4"/>
                <c:pt idx="0">
                  <c:v>134.26</c:v>
                </c:pt>
                <c:pt idx="1">
                  <c:v>134.6</c:v>
                </c:pt>
                <c:pt idx="2">
                  <c:v>77.459999999999994</c:v>
                </c:pt>
                <c:pt idx="3">
                  <c:v>82.43</c:v>
                </c:pt>
              </c:numCache>
            </c:numRef>
          </c:val>
        </c:ser>
        <c:ser>
          <c:idx val="1"/>
          <c:order val="1"/>
          <c:tx>
            <c:strRef>
              <c:f>Sheet6!$D$5</c:f>
              <c:strCache>
                <c:ptCount val="1"/>
                <c:pt idx="0">
                  <c:v>TNF day 7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Sheet6!$B$6:$B$9</c:f>
              <c:strCache>
                <c:ptCount val="4"/>
                <c:pt idx="0">
                  <c:v>G1</c:v>
                </c:pt>
                <c:pt idx="1">
                  <c:v>G2</c:v>
                </c:pt>
                <c:pt idx="2">
                  <c:v>G3</c:v>
                </c:pt>
                <c:pt idx="3">
                  <c:v>G4</c:v>
                </c:pt>
              </c:strCache>
            </c:strRef>
          </c:cat>
          <c:val>
            <c:numRef>
              <c:f>Sheet6!$D$6:$D$9</c:f>
              <c:numCache>
                <c:formatCode>General</c:formatCode>
                <c:ptCount val="4"/>
                <c:pt idx="0">
                  <c:v>126.9</c:v>
                </c:pt>
                <c:pt idx="1">
                  <c:v>127.43</c:v>
                </c:pt>
                <c:pt idx="2">
                  <c:v>79.56</c:v>
                </c:pt>
                <c:pt idx="3">
                  <c:v>83.83</c:v>
                </c:pt>
              </c:numCache>
            </c:numRef>
          </c:val>
        </c:ser>
        <c:ser>
          <c:idx val="2"/>
          <c:order val="2"/>
          <c:tx>
            <c:strRef>
              <c:f>Sheet6!$E$5</c:f>
              <c:strCache>
                <c:ptCount val="1"/>
                <c:pt idx="0">
                  <c:v>macroscopic degree of severity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accent2">
                  <a:lumMod val="50000"/>
                </a:schemeClr>
              </a:solidFill>
            </a:ln>
          </c:spPr>
          <c:invertIfNegative val="0"/>
          <c:cat>
            <c:strRef>
              <c:f>Sheet6!$B$6:$B$9</c:f>
              <c:strCache>
                <c:ptCount val="4"/>
                <c:pt idx="0">
                  <c:v>G1</c:v>
                </c:pt>
                <c:pt idx="1">
                  <c:v>G2</c:v>
                </c:pt>
                <c:pt idx="2">
                  <c:v>G3</c:v>
                </c:pt>
                <c:pt idx="3">
                  <c:v>G4</c:v>
                </c:pt>
              </c:strCache>
            </c:strRef>
          </c:cat>
          <c:val>
            <c:numRef>
              <c:f>Sheet6!$E$6:$E$9</c:f>
              <c:numCache>
                <c:formatCode>General</c:formatCode>
                <c:ptCount val="4"/>
                <c:pt idx="0">
                  <c:v>203</c:v>
                </c:pt>
                <c:pt idx="1">
                  <c:v>186</c:v>
                </c:pt>
                <c:pt idx="2">
                  <c:v>90</c:v>
                </c:pt>
                <c:pt idx="3">
                  <c:v>90</c:v>
                </c:pt>
              </c:numCache>
            </c:numRef>
          </c:val>
        </c:ser>
        <c:ser>
          <c:idx val="3"/>
          <c:order val="3"/>
          <c:tx>
            <c:strRef>
              <c:f>Sheet6!$F$5</c:f>
              <c:strCache>
                <c:ptCount val="1"/>
                <c:pt idx="0">
                  <c:v>area covered by adhesions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75000"/>
                </a:schemeClr>
              </a:solidFill>
            </a:ln>
          </c:spPr>
          <c:invertIfNegative val="0"/>
          <c:cat>
            <c:strRef>
              <c:f>Sheet6!$B$6:$B$9</c:f>
              <c:strCache>
                <c:ptCount val="4"/>
                <c:pt idx="0">
                  <c:v>G1</c:v>
                </c:pt>
                <c:pt idx="1">
                  <c:v>G2</c:v>
                </c:pt>
                <c:pt idx="2">
                  <c:v>G3</c:v>
                </c:pt>
                <c:pt idx="3">
                  <c:v>G4</c:v>
                </c:pt>
              </c:strCache>
            </c:strRef>
          </c:cat>
          <c:val>
            <c:numRef>
              <c:f>Sheet6!$F$6:$F$9</c:f>
              <c:numCache>
                <c:formatCode>General</c:formatCode>
                <c:ptCount val="4"/>
                <c:pt idx="0">
                  <c:v>51.6</c:v>
                </c:pt>
                <c:pt idx="1">
                  <c:v>50</c:v>
                </c:pt>
                <c:pt idx="2">
                  <c:v>26.66</c:v>
                </c:pt>
                <c:pt idx="3">
                  <c:v>27.5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783104"/>
        <c:axId val="132788992"/>
      </c:barChart>
      <c:catAx>
        <c:axId val="132783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32788992"/>
        <c:crosses val="autoZero"/>
        <c:auto val="1"/>
        <c:lblAlgn val="ctr"/>
        <c:lblOffset val="100"/>
        <c:noMultiLvlLbl val="0"/>
      </c:catAx>
      <c:valAx>
        <c:axId val="132788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783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343066491688538"/>
          <c:y val="0.12400918635170603"/>
          <c:w val="0.23656933508311462"/>
          <c:h val="0.6830816736143275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487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2017-07-24T18:30:00Z</dcterms:created>
  <dcterms:modified xsi:type="dcterms:W3CDTF">2017-07-25T10:41:00Z</dcterms:modified>
</cp:coreProperties>
</file>